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1"/>
        <w:spacing w:after="0" w:before="0" w:line="240" w:lineRule="auto"/>
        <w:rPr>
          <w:color w:val="c00000"/>
        </w:rPr>
      </w:pPr>
      <w:r w:rsidDel="00000000" w:rsidR="00000000" w:rsidRPr="00000000">
        <w:rPr>
          <w:color w:val="c00000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spacing w:after="0" w:before="0" w:line="240" w:lineRule="auto"/>
        <w:rPr>
          <w:b w:val="1"/>
          <w:bCs w:val="1"/>
          <w:color w:val="0000ff"/>
          <w:sz w:val="164"/>
          <w:szCs w:val="164"/>
        </w:rPr>
      </w:pPr>
      <w:r w:rsidDel="00000000" w:rsidR="00000000" w:rsidRPr="00000000">
        <w:rPr>
          <w:b w:val="1"/>
          <w:bCs w:val="1"/>
          <w:color w:val="0000ff"/>
          <w:sz w:val="164"/>
          <w:szCs w:val="164"/>
          <w:rtl w:val="0"/>
        </w:rPr>
        <w:t xml:space="preserve">RMW20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3886200</wp:posOffset>
            </wp:positionH>
            <wp:positionV relativeFrom="paragraph">
              <wp:posOffset>238125</wp:posOffset>
            </wp:positionV>
            <wp:extent cx="2349176" cy="177512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9176" cy="177512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pacing w:after="0" w:before="0" w:line="120" w:lineRule="auto"/>
        <w:rPr>
          <w:b w:val="1"/>
          <w:bCs w:val="1"/>
          <w:color w:val="0000ff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spacing w:after="0" w:before="0" w:line="276" w:lineRule="auto"/>
        <w:rPr>
          <w:b w:val="1"/>
          <w:bCs w:val="1"/>
          <w:color w:val="0000ff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bottom w:color="0000ff" w:space="2" w:sz="18" w:val="single"/>
        </w:pBdr>
        <w:spacing w:after="0" w:before="0" w:line="276" w:lineRule="auto"/>
        <w:jc w:val="both"/>
        <w:rPr>
          <w:b w:val="1"/>
          <w:bCs w:val="1"/>
          <w:color w:val="0000ff"/>
          <w:sz w:val="36"/>
          <w:szCs w:val="36"/>
        </w:rPr>
      </w:pPr>
      <w:r w:rsidDel="00000000" w:rsidR="00000000" w:rsidRPr="00000000">
        <w:rPr>
          <w:b w:val="1"/>
          <w:bCs w:val="1"/>
          <w:color w:val="0000ff"/>
          <w:sz w:val="36"/>
          <w:szCs w:val="36"/>
          <w:rtl w:val="0"/>
        </w:rPr>
        <w:t xml:space="preserve">The 20th Workshop on Reactive Metal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spacing w:after="0" w:before="0" w:line="276" w:lineRule="auto"/>
        <w:ind w:right="-182.5984251968498"/>
        <w:jc w:val="both"/>
        <w:rPr>
          <w:b w:val="1"/>
          <w:bCs w:val="1"/>
          <w:color w:val="0000ff"/>
          <w:sz w:val="36"/>
          <w:szCs w:val="36"/>
        </w:rPr>
      </w:pPr>
      <w:r w:rsidDel="00000000" w:rsidR="00000000" w:rsidRPr="00000000">
        <w:rPr>
          <w:b w:val="1"/>
          <w:bCs w:val="1"/>
          <w:color w:val="0000ff"/>
          <w:sz w:val="36"/>
          <w:szCs w:val="36"/>
          <w:rtl w:val="0"/>
        </w:rPr>
        <w:t xml:space="preserve">March 19 (Fri.) – 20 (Sat.), 2027 @ MIT, Cambridge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(After TMS 2027, March 14 (Sun.) – 18 (Thu.), 2027 @ Orlando, Florida)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pacing w:after="0" w:before="0"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spacing w:after="0" w:before="0" w:line="360" w:lineRule="auto"/>
        <w:rPr/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Organizers: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spacing w:after="0" w:before="0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Donald R. Sadoway</w:t>
      </w:r>
      <w:r w:rsidDel="00000000" w:rsidR="00000000" w:rsidRPr="00000000">
        <w:rPr>
          <w:sz w:val="24"/>
          <w:szCs w:val="24"/>
          <w:rtl w:val="0"/>
        </w:rPr>
        <w:t xml:space="preserve">,      </w:t>
        <w:tab/>
        <w:t xml:space="preserve">        </w:t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Massachusetts Institute of Technology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spacing w:after="0" w:before="0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Toru H. Okabe</w:t>
      </w:r>
      <w:r w:rsidDel="00000000" w:rsidR="00000000" w:rsidRPr="00000000">
        <w:rPr>
          <w:sz w:val="24"/>
          <w:szCs w:val="24"/>
          <w:rtl w:val="0"/>
        </w:rPr>
        <w:t xml:space="preserve">,    </w:t>
        <w:tab/>
        <w:t xml:space="preserve">        </w:t>
        <w:tab/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Institute of Industrial Science (IIS),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spacing w:after="0" w:before="0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                             </w:t>
        <w:tab/>
        <w:t xml:space="preserve">        </w:t>
        <w:tab/>
        <w:tab/>
        <w:t xml:space="preserve">The University of Tokyo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spacing w:after="0" w:before="0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Antoine Allanore</w:t>
      </w:r>
      <w:r w:rsidDel="00000000" w:rsidR="00000000" w:rsidRPr="00000000">
        <w:rPr>
          <w:sz w:val="24"/>
          <w:szCs w:val="24"/>
          <w:rtl w:val="0"/>
        </w:rPr>
        <w:t xml:space="preserve">,           </w:t>
        <w:tab/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Massachusetts Institute of Technology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spacing w:after="0" w:before="0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Shunsuke Yagi</w:t>
      </w:r>
      <w:r w:rsidDel="00000000" w:rsidR="00000000" w:rsidRPr="00000000">
        <w:rPr>
          <w:sz w:val="24"/>
          <w:szCs w:val="24"/>
          <w:rtl w:val="0"/>
        </w:rPr>
        <w:t xml:space="preserve">  </w:t>
        <w:tab/>
        <w:t xml:space="preserve">        </w:t>
        <w:tab/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IIS, The University of Tokyo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spacing w:after="0" w:before="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spacing w:after="0" w:before="0" w:line="360" w:lineRule="auto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Program Coordinators: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spacing w:after="0" w:before="0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Taka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Narumi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</w:t>
        <w:tab/>
        <w:t xml:space="preserve">        </w:t>
        <w:tab/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IIS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University of Tokyo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spacing w:after="0" w:before="0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Lucas Marden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</w:t>
        <w:tab/>
        <w:t xml:space="preserve">        </w:t>
        <w:tab/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Massachusetts Institute of Technology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spacing w:after="0" w:before="0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Isaac Oda-Bayliss,</w:t>
      </w:r>
      <w:r w:rsidDel="00000000" w:rsidR="00000000" w:rsidRPr="00000000">
        <w:rPr>
          <w:sz w:val="24"/>
          <w:szCs w:val="24"/>
          <w:rtl w:val="0"/>
        </w:rPr>
        <w:tab/>
        <w:tab/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IIS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University of Tokyo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spacing w:after="0" w:before="0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Matthew Michalek,</w:t>
        <w:tab/>
      </w:r>
      <w:r w:rsidDel="00000000" w:rsidR="00000000" w:rsidRPr="00000000">
        <w:rPr>
          <w:sz w:val="24"/>
          <w:szCs w:val="24"/>
          <w:rtl w:val="0"/>
        </w:rPr>
        <w:tab/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Massachusetts Institute of Technology</w:t>
      </w:r>
    </w:p>
    <w:p w:rsidR="00000000" w:rsidDel="00000000" w:rsidP="00000000" w:rsidRDefault="00000000" w:rsidRPr="00000000" w14:paraId="00000015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Takumi Kaneko</w:t>
        <w:tab/>
        <w:tab/>
        <w:tab/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IIS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University of Tokyo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spacing w:after="0" w:before="0" w:line="276" w:lineRule="auto"/>
        <w:rPr>
          <w:color w:val="c00000"/>
          <w:sz w:val="28"/>
          <w:szCs w:val="28"/>
        </w:rPr>
      </w:pPr>
      <w:r w:rsidDel="00000000" w:rsidR="00000000" w:rsidRPr="00000000">
        <w:rPr>
          <w:color w:val="c0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spacing w:after="0" w:before="0" w:line="276" w:lineRule="auto"/>
        <w:rPr>
          <w:color w:val="0000ff"/>
          <w:sz w:val="28"/>
          <w:szCs w:val="28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Sponsors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spacing w:after="0" w:before="0" w:line="276" w:lineRule="auto"/>
        <w:ind w:left="288" w:right="417.59999999999997" w:hanging="144"/>
        <w:rPr>
          <w:color w:val="0000ff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rtl w:val="0"/>
        </w:rPr>
        <w:t xml:space="preserve">The Rare Metal Research Workshop, one of the Special Research Groups organized by the Foundation for the Promotion of Industrial Science (FPIS) </w:t>
        <w:br w:type="textWrapping"/>
        <w:t xml:space="preserve">(RC-40: directed by Prof. T. H. Okabe, RC-104: directed by Prof. S. Yagi)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spacing w:after="0" w:before="0" w:line="276" w:lineRule="auto"/>
        <w:ind w:left="288" w:right="417.59999999999997" w:hanging="144"/>
        <w:rPr>
          <w:color w:val="0000ff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rtl w:val="0"/>
        </w:rPr>
        <w:t xml:space="preserve">Research Center for Sustainable Material Energy Integration (SUSMAT)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spacing w:after="0" w:before="0" w:line="276" w:lineRule="auto"/>
        <w:ind w:left="288" w:right="417.59999999999997" w:hanging="144"/>
        <w:rPr>
          <w:color w:val="0000ff"/>
          <w:sz w:val="20"/>
          <w:szCs w:val="20"/>
        </w:rPr>
      </w:pPr>
      <w:r w:rsidDel="00000000" w:rsidR="00000000" w:rsidRPr="00000000">
        <w:rPr>
          <w:color w:val="0000ff"/>
          <w:sz w:val="20"/>
          <w:szCs w:val="20"/>
          <w:rtl w:val="0"/>
        </w:rPr>
        <w:t xml:space="preserve">Institute of Industrial Science, The University of Tokyo (IIS UTokyo SYMPOSIUM No 135)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spacing w:after="0" w:before="0" w:line="276" w:lineRule="auto"/>
        <w:jc w:val="center"/>
        <w:rPr>
          <w:color w:val="0000ff"/>
        </w:rPr>
      </w:pPr>
      <w:r w:rsidDel="00000000" w:rsidR="00000000" w:rsidRPr="00000000">
        <w:rPr>
          <w:color w:val="0000ff"/>
          <w:sz w:val="28"/>
          <w:szCs w:val="28"/>
          <w:rtl w:val="0"/>
        </w:rPr>
        <w:t xml:space="preserve">http://www.okabe.iis.u-tokyo.ac.jp/core-to-core/rmw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